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1792" w14:textId="66C82AD8" w:rsidR="000A0244" w:rsidRPr="00E27CC7" w:rsidRDefault="00527C37" w:rsidP="00E27CC7">
      <w:pPr>
        <w:jc w:val="center"/>
        <w:rPr>
          <w:b/>
          <w:bCs/>
        </w:rPr>
      </w:pPr>
      <w:r w:rsidRPr="00E27CC7">
        <w:rPr>
          <w:b/>
          <w:bCs/>
        </w:rPr>
        <w:t>Obsèques du P. Francis Frost (1933-2026)</w:t>
      </w:r>
    </w:p>
    <w:p w14:paraId="4AC382B6" w14:textId="790600E7" w:rsidR="00527C37" w:rsidRPr="00E27CC7" w:rsidRDefault="00527C37" w:rsidP="00E27CC7">
      <w:pPr>
        <w:jc w:val="center"/>
        <w:rPr>
          <w:b/>
          <w:bCs/>
        </w:rPr>
      </w:pPr>
      <w:r w:rsidRPr="00E27CC7">
        <w:rPr>
          <w:b/>
          <w:bCs/>
        </w:rPr>
        <w:t>Basilique du Sacré-Cœur, Bourg-en-Bresse, 12 janvier 2026</w:t>
      </w:r>
    </w:p>
    <w:p w14:paraId="06451DB9" w14:textId="77777777" w:rsidR="00527C37" w:rsidRDefault="00527C37"/>
    <w:p w14:paraId="0C49463E" w14:textId="370F43D5" w:rsidR="00527C37" w:rsidRPr="00E27CC7" w:rsidRDefault="00527C37" w:rsidP="00527C37">
      <w:pPr>
        <w:jc w:val="both"/>
        <w:rPr>
          <w:sz w:val="28"/>
          <w:szCs w:val="28"/>
        </w:rPr>
      </w:pPr>
      <w:r w:rsidRPr="00E27CC7">
        <w:rPr>
          <w:sz w:val="28"/>
          <w:szCs w:val="28"/>
        </w:rPr>
        <w:tab/>
        <w:t xml:space="preserve">Le ministère sacerdotal du P. Frost s’est exercé </w:t>
      </w:r>
      <w:r w:rsidR="0066708A">
        <w:rPr>
          <w:sz w:val="28"/>
          <w:szCs w:val="28"/>
        </w:rPr>
        <w:t>pour une grande part</w:t>
      </w:r>
      <w:r w:rsidRPr="00E27CC7">
        <w:rPr>
          <w:sz w:val="28"/>
          <w:szCs w:val="28"/>
        </w:rPr>
        <w:t xml:space="preserve"> à travers l’enseignement et la recherche théologique. Il n’a pas été un simple théologien, mais un théologien prêtre, ou un prêtre théologien. Il disait parfois qu’il était « crucifié à sa plume ». Cette petite expression nous révèle que son travail intellectuel était profondément inséparable de sa vie. </w:t>
      </w:r>
    </w:p>
    <w:p w14:paraId="4892A5D1" w14:textId="77777777" w:rsidR="0066708A" w:rsidRDefault="00527C37" w:rsidP="00527C37">
      <w:pPr>
        <w:jc w:val="both"/>
        <w:rPr>
          <w:sz w:val="28"/>
          <w:szCs w:val="28"/>
        </w:rPr>
      </w:pPr>
      <w:r w:rsidRPr="00E27CC7">
        <w:rPr>
          <w:sz w:val="28"/>
          <w:szCs w:val="28"/>
        </w:rPr>
        <w:tab/>
        <w:t>Son intelligence aiguisée, le P. Frost l’a mise au service de la Vérité qu’est Jésus. Cette Vérité, il a su l’exposer, l’expliciter, mais aussi la défendre. Au cœur de son enseignement, s’il y a un aspect de la Révélation qui lui t</w:t>
      </w:r>
      <w:r w:rsidR="0066708A">
        <w:rPr>
          <w:sz w:val="28"/>
          <w:szCs w:val="28"/>
        </w:rPr>
        <w:t>en</w:t>
      </w:r>
      <w:r w:rsidRPr="00E27CC7">
        <w:rPr>
          <w:sz w:val="28"/>
          <w:szCs w:val="28"/>
        </w:rPr>
        <w:t xml:space="preserve">ait particulièrement à cœur, c’est bien l’Église dans son mystère ; qu’il appelait familièrement le « Corps-Épouse de Jésus ». Il percevait avec enthousiasme que l’Église est bien plus qu’une simple association humaine. Elle est celle que le Christ a aimée et pour qui Il s’est livré, comme nous l’a rappelé </w:t>
      </w:r>
      <w:r w:rsidR="0066708A">
        <w:rPr>
          <w:sz w:val="28"/>
          <w:szCs w:val="28"/>
        </w:rPr>
        <w:t>l’extrait de la lettre aux Éphésiens</w:t>
      </w:r>
      <w:r w:rsidRPr="00E27CC7">
        <w:rPr>
          <w:sz w:val="28"/>
          <w:szCs w:val="28"/>
        </w:rPr>
        <w:t xml:space="preserve"> que nous avons entendu. L’Église est une réalité ontologico-sacramentelle, en parfaite continuité avec l’humanité sainte du Christ. Elle n’est pas un « invertébré gazeux » mais une réalité concrète à travers laquelle et dans laquelle Dieu est présent</w:t>
      </w:r>
      <w:r w:rsidR="0066708A">
        <w:rPr>
          <w:sz w:val="28"/>
          <w:szCs w:val="28"/>
        </w:rPr>
        <w:t xml:space="preserve"> et se laisse rejoindre et toucher</w:t>
      </w:r>
      <w:r w:rsidRPr="00E27CC7">
        <w:rPr>
          <w:sz w:val="28"/>
          <w:szCs w:val="28"/>
        </w:rPr>
        <w:t>. Toute sa vie il s’est battu contre ce qu’il appelait « l’arianisme ecclésiologique » qui oublie cette dimension divine.</w:t>
      </w:r>
      <w:r w:rsidR="0066708A">
        <w:rPr>
          <w:sz w:val="28"/>
          <w:szCs w:val="28"/>
        </w:rPr>
        <w:t xml:space="preserve"> Ce combat consistait notamment dans l’exposition de l’ecclésiologie de la Constitution </w:t>
      </w:r>
      <w:r w:rsidR="0066708A" w:rsidRPr="0066708A">
        <w:rPr>
          <w:i/>
          <w:iCs/>
          <w:sz w:val="28"/>
          <w:szCs w:val="28"/>
        </w:rPr>
        <w:t>Lumen Gentium</w:t>
      </w:r>
      <w:r w:rsidR="0066708A">
        <w:rPr>
          <w:sz w:val="28"/>
          <w:szCs w:val="28"/>
        </w:rPr>
        <w:t xml:space="preserve"> du Concile Vatican II.</w:t>
      </w:r>
      <w:r w:rsidRPr="00E27CC7">
        <w:rPr>
          <w:sz w:val="28"/>
          <w:szCs w:val="28"/>
        </w:rPr>
        <w:t xml:space="preserve"> </w:t>
      </w:r>
    </w:p>
    <w:p w14:paraId="16C0E2EF" w14:textId="3CF0309F" w:rsidR="00527C37" w:rsidRPr="00E27CC7" w:rsidRDefault="0066708A" w:rsidP="00527C37">
      <w:pPr>
        <w:jc w:val="both"/>
        <w:rPr>
          <w:sz w:val="28"/>
          <w:szCs w:val="28"/>
        </w:rPr>
      </w:pPr>
      <w:r>
        <w:rPr>
          <w:sz w:val="28"/>
          <w:szCs w:val="28"/>
        </w:rPr>
        <w:tab/>
      </w:r>
      <w:r w:rsidR="00527C37" w:rsidRPr="00E27CC7">
        <w:rPr>
          <w:sz w:val="28"/>
          <w:szCs w:val="28"/>
        </w:rPr>
        <w:t>Oui, cette Église du Christ, le P. Frost l’a aimée passionnément et il a su la faire aimer.</w:t>
      </w:r>
    </w:p>
    <w:p w14:paraId="011EEEE4" w14:textId="36A8F70D" w:rsidR="00527C37" w:rsidRPr="00E27CC7" w:rsidRDefault="00527C37" w:rsidP="00527C37">
      <w:pPr>
        <w:jc w:val="both"/>
        <w:rPr>
          <w:sz w:val="28"/>
          <w:szCs w:val="28"/>
        </w:rPr>
      </w:pPr>
      <w:r w:rsidRPr="00E27CC7">
        <w:rPr>
          <w:sz w:val="28"/>
          <w:szCs w:val="28"/>
        </w:rPr>
        <w:tab/>
        <w:t xml:space="preserve">« crucifié à sa plume » : ce travail théologique n’était pas un simple travail intellectuel. Toute sa vie était impliquée dans son service de la Vérité, dans son service de l’Église. C’est avant tout par le don de lui-même dans le sacerdoce que le P. Frost a servi la Vérité et le mystère de l’Église. </w:t>
      </w:r>
    </w:p>
    <w:p w14:paraId="064B925E" w14:textId="35CFC885" w:rsidR="00E27CC7" w:rsidRPr="00E27CC7" w:rsidRDefault="00E27CC7" w:rsidP="00527C37">
      <w:pPr>
        <w:jc w:val="both"/>
        <w:rPr>
          <w:sz w:val="28"/>
          <w:szCs w:val="28"/>
        </w:rPr>
      </w:pPr>
      <w:r w:rsidRPr="00E27CC7">
        <w:rPr>
          <w:sz w:val="28"/>
          <w:szCs w:val="28"/>
        </w:rPr>
        <w:tab/>
        <w:t>Il avait parfaitement conscience d’être un membre de l’Église, un sarment sur la vigne. Il aimait faire remarquer que dans Jn 15 la vigne est un englobant : le Christ est l’ensemble, il n’est pas que le tronc. Tout au long de sa vie il s’est laissé purifier, émonder par le Père céleste pour porter davantage de fruit. Cet ancrage dans le Christ passait bien sûr par l’Eucharistie que</w:t>
      </w:r>
      <w:r w:rsidR="0066708A">
        <w:rPr>
          <w:sz w:val="28"/>
          <w:szCs w:val="28"/>
        </w:rPr>
        <w:t>,</w:t>
      </w:r>
      <w:r w:rsidRPr="00E27CC7">
        <w:rPr>
          <w:sz w:val="28"/>
          <w:szCs w:val="28"/>
        </w:rPr>
        <w:t xml:space="preserve"> tout autant que l’Église</w:t>
      </w:r>
      <w:r w:rsidR="0066708A">
        <w:rPr>
          <w:sz w:val="28"/>
          <w:szCs w:val="28"/>
        </w:rPr>
        <w:t>,</w:t>
      </w:r>
      <w:r w:rsidRPr="00E27CC7">
        <w:rPr>
          <w:sz w:val="28"/>
          <w:szCs w:val="28"/>
        </w:rPr>
        <w:t xml:space="preserve"> le P. Frost aimait passionnément, avec cet enthousiasme propre aux personnes sensibles aux questions œcuméniques. Il aimait passer de longs moments, à Ars, auprès du tabernacle. Dans les derniers temps, comme Newman, il ne pouvait plus célébrer la Messe, mais la communion exerçait sur lui son pouvoir transformant, au point de stupéfier le personnel soignant</w:t>
      </w:r>
      <w:r w:rsidR="0066708A">
        <w:rPr>
          <w:sz w:val="28"/>
          <w:szCs w:val="28"/>
        </w:rPr>
        <w:t>, constatant qu’après avoir reçu Jésus Eucharistie, il n’était plus le même.</w:t>
      </w:r>
    </w:p>
    <w:p w14:paraId="48A4FDA9" w14:textId="180EA50B" w:rsidR="00E27CC7" w:rsidRPr="00E27CC7" w:rsidRDefault="00E27CC7" w:rsidP="00527C37">
      <w:pPr>
        <w:jc w:val="both"/>
        <w:rPr>
          <w:sz w:val="28"/>
          <w:szCs w:val="28"/>
        </w:rPr>
      </w:pPr>
      <w:r w:rsidRPr="00E27CC7">
        <w:rPr>
          <w:sz w:val="28"/>
          <w:szCs w:val="28"/>
        </w:rPr>
        <w:tab/>
        <w:t xml:space="preserve">Le psaume retenu pour cette célébration illustre encore un aspect important du P. Frost. Il a essayé de garder et de développer un cœur d’enfant, à l’école de la Petite Thérèse qui lui était si chère et dont il a reçu de nombreuses grâces. </w:t>
      </w:r>
      <w:r w:rsidR="0066708A">
        <w:rPr>
          <w:sz w:val="28"/>
          <w:szCs w:val="28"/>
        </w:rPr>
        <w:t>Quand il présidait la Messe, il introduisait toujours la prière du Notre Père en disant</w:t>
      </w:r>
      <w:r w:rsidR="00AB25DA">
        <w:rPr>
          <w:sz w:val="28"/>
          <w:szCs w:val="28"/>
        </w:rPr>
        <w:t xml:space="preserve"> avec un certain émerveillement</w:t>
      </w:r>
      <w:r w:rsidR="0066708A">
        <w:rPr>
          <w:sz w:val="28"/>
          <w:szCs w:val="28"/>
        </w:rPr>
        <w:t> : « </w:t>
      </w:r>
      <w:r w:rsidRPr="00E27CC7">
        <w:rPr>
          <w:sz w:val="28"/>
          <w:szCs w:val="28"/>
        </w:rPr>
        <w:t>Rendons grâce à notre Père du ciel</w:t>
      </w:r>
      <w:r w:rsidR="0066708A">
        <w:rPr>
          <w:sz w:val="28"/>
          <w:szCs w:val="28"/>
        </w:rPr>
        <w:t>… »</w:t>
      </w:r>
      <w:r w:rsidRPr="00E27CC7">
        <w:rPr>
          <w:sz w:val="28"/>
          <w:szCs w:val="28"/>
        </w:rPr>
        <w:t>.</w:t>
      </w:r>
    </w:p>
    <w:p w14:paraId="4D29F1E9" w14:textId="4E48AA3A" w:rsidR="00E27CC7" w:rsidRDefault="00E27CC7" w:rsidP="00527C37">
      <w:pPr>
        <w:jc w:val="both"/>
        <w:rPr>
          <w:sz w:val="28"/>
          <w:szCs w:val="28"/>
        </w:rPr>
      </w:pPr>
      <w:r w:rsidRPr="00E27CC7">
        <w:rPr>
          <w:sz w:val="28"/>
          <w:szCs w:val="28"/>
        </w:rPr>
        <w:lastRenderedPageBreak/>
        <w:tab/>
        <w:t>En ce jour confions le P. Frost à la Miséricorde du Seigneur. Qu’Il accueille près de Lui son serviteur, et qu’Il nous donne d’aimer et de servir l’Église comme le P. Frost nous en laisse le témoignage.</w:t>
      </w:r>
    </w:p>
    <w:p w14:paraId="51E8E7D1" w14:textId="77777777" w:rsidR="006C3A27" w:rsidRDefault="006C3A27" w:rsidP="00527C37">
      <w:pPr>
        <w:jc w:val="both"/>
        <w:rPr>
          <w:sz w:val="28"/>
          <w:szCs w:val="28"/>
        </w:rPr>
      </w:pPr>
    </w:p>
    <w:p w14:paraId="22A45E87" w14:textId="77777777" w:rsidR="006C3A27" w:rsidRDefault="006C3A27" w:rsidP="00527C37">
      <w:pPr>
        <w:jc w:val="both"/>
        <w:rPr>
          <w:sz w:val="28"/>
          <w:szCs w:val="28"/>
        </w:rPr>
      </w:pPr>
    </w:p>
    <w:p w14:paraId="07CDC4C5" w14:textId="77777777" w:rsidR="006C3A27" w:rsidRDefault="006C3A27" w:rsidP="00527C37">
      <w:pPr>
        <w:jc w:val="both"/>
        <w:rPr>
          <w:sz w:val="28"/>
          <w:szCs w:val="28"/>
        </w:rPr>
      </w:pPr>
    </w:p>
    <w:p w14:paraId="0201A8FC" w14:textId="4B47D2C0" w:rsidR="006C3A27" w:rsidRDefault="006C3A27" w:rsidP="00527C37">
      <w:pPr>
        <w:jc w:val="both"/>
        <w:rPr>
          <w:sz w:val="28"/>
          <w:szCs w:val="28"/>
        </w:rPr>
      </w:pPr>
      <w:r>
        <w:rPr>
          <w:sz w:val="28"/>
          <w:szCs w:val="28"/>
        </w:rPr>
        <w:t>Le P. Francis Frost a été au service du séminaire de la Société Jean-Marie Vianney à Ars de 1995 à 2012</w:t>
      </w:r>
      <w:r w:rsidR="005232A1">
        <w:rPr>
          <w:sz w:val="28"/>
          <w:szCs w:val="28"/>
        </w:rPr>
        <w:t>, particulièrement en second cycle</w:t>
      </w:r>
      <w:r>
        <w:rPr>
          <w:sz w:val="28"/>
          <w:szCs w:val="28"/>
        </w:rPr>
        <w:t>.</w:t>
      </w:r>
      <w:r w:rsidR="005232A1">
        <w:rPr>
          <w:sz w:val="28"/>
          <w:szCs w:val="28"/>
        </w:rPr>
        <w:t xml:space="preserve"> </w:t>
      </w:r>
    </w:p>
    <w:p w14:paraId="2558D52A" w14:textId="1F8CED5E" w:rsidR="006C3A27" w:rsidRDefault="006C3A27" w:rsidP="00527C37">
      <w:pPr>
        <w:jc w:val="both"/>
        <w:rPr>
          <w:sz w:val="28"/>
          <w:szCs w:val="28"/>
        </w:rPr>
      </w:pPr>
      <w:r>
        <w:rPr>
          <w:sz w:val="28"/>
          <w:szCs w:val="28"/>
        </w:rPr>
        <w:t>Il a été père spirituel.</w:t>
      </w:r>
    </w:p>
    <w:p w14:paraId="122F5BF9" w14:textId="1A26D2F2" w:rsidR="006C3A27" w:rsidRDefault="006C3A27" w:rsidP="00527C37">
      <w:pPr>
        <w:jc w:val="both"/>
        <w:rPr>
          <w:sz w:val="28"/>
          <w:szCs w:val="28"/>
        </w:rPr>
      </w:pPr>
      <w:r>
        <w:rPr>
          <w:sz w:val="28"/>
          <w:szCs w:val="28"/>
        </w:rPr>
        <w:t>Il a enseigné :</w:t>
      </w:r>
    </w:p>
    <w:p w14:paraId="2247D1A7" w14:textId="167A4B7B" w:rsidR="006C3A27" w:rsidRDefault="006C3A27" w:rsidP="006C3A27">
      <w:pPr>
        <w:pStyle w:val="Paragraphedeliste"/>
        <w:numPr>
          <w:ilvl w:val="0"/>
          <w:numId w:val="1"/>
        </w:numPr>
        <w:jc w:val="both"/>
        <w:rPr>
          <w:sz w:val="28"/>
          <w:szCs w:val="28"/>
        </w:rPr>
      </w:pPr>
      <w:r>
        <w:rPr>
          <w:sz w:val="28"/>
          <w:szCs w:val="28"/>
        </w:rPr>
        <w:t>L’ecclésiologie</w:t>
      </w:r>
    </w:p>
    <w:p w14:paraId="7C7E2946" w14:textId="4DCC6E1D" w:rsidR="006C3A27" w:rsidRDefault="006C3A27" w:rsidP="006C3A27">
      <w:pPr>
        <w:pStyle w:val="Paragraphedeliste"/>
        <w:numPr>
          <w:ilvl w:val="0"/>
          <w:numId w:val="1"/>
        </w:numPr>
        <w:jc w:val="both"/>
        <w:rPr>
          <w:sz w:val="28"/>
          <w:szCs w:val="28"/>
        </w:rPr>
      </w:pPr>
      <w:r>
        <w:rPr>
          <w:sz w:val="28"/>
          <w:szCs w:val="28"/>
        </w:rPr>
        <w:t>L’herméneutique du dogme</w:t>
      </w:r>
    </w:p>
    <w:p w14:paraId="1544BC9B" w14:textId="544C4B62" w:rsidR="006C3A27" w:rsidRDefault="006C3A27" w:rsidP="006C3A27">
      <w:pPr>
        <w:pStyle w:val="Paragraphedeliste"/>
        <w:numPr>
          <w:ilvl w:val="0"/>
          <w:numId w:val="1"/>
        </w:numPr>
        <w:jc w:val="both"/>
        <w:rPr>
          <w:sz w:val="28"/>
          <w:szCs w:val="28"/>
        </w:rPr>
      </w:pPr>
      <w:r>
        <w:rPr>
          <w:sz w:val="28"/>
          <w:szCs w:val="28"/>
        </w:rPr>
        <w:t>L’anthropologie chrétienne</w:t>
      </w:r>
    </w:p>
    <w:p w14:paraId="058BE844" w14:textId="3991C47A" w:rsidR="006C3A27" w:rsidRDefault="006C3A27" w:rsidP="006C3A27">
      <w:pPr>
        <w:pStyle w:val="Paragraphedeliste"/>
        <w:numPr>
          <w:ilvl w:val="0"/>
          <w:numId w:val="1"/>
        </w:numPr>
        <w:jc w:val="both"/>
        <w:rPr>
          <w:sz w:val="28"/>
          <w:szCs w:val="28"/>
        </w:rPr>
      </w:pPr>
      <w:r>
        <w:rPr>
          <w:sz w:val="28"/>
          <w:szCs w:val="28"/>
        </w:rPr>
        <w:t>Confiance et abandon à partir de</w:t>
      </w:r>
      <w:r w:rsidRPr="006C3A27">
        <w:rPr>
          <w:sz w:val="28"/>
          <w:szCs w:val="28"/>
        </w:rPr>
        <w:t xml:space="preserve"> Saint François de Sales et de Sainte Thérèse de l’Enfant Jésus.</w:t>
      </w:r>
    </w:p>
    <w:p w14:paraId="3BCBA922" w14:textId="77777777" w:rsidR="006C3A27" w:rsidRDefault="006C3A27" w:rsidP="006C3A27">
      <w:pPr>
        <w:jc w:val="both"/>
        <w:rPr>
          <w:sz w:val="28"/>
          <w:szCs w:val="28"/>
        </w:rPr>
      </w:pPr>
    </w:p>
    <w:p w14:paraId="1F2E103F" w14:textId="7E7158A5" w:rsidR="006C3A27" w:rsidRDefault="006C3A27" w:rsidP="006C3A27">
      <w:pPr>
        <w:jc w:val="both"/>
        <w:rPr>
          <w:sz w:val="28"/>
          <w:szCs w:val="28"/>
        </w:rPr>
      </w:pPr>
      <w:r>
        <w:rPr>
          <w:sz w:val="28"/>
          <w:szCs w:val="28"/>
        </w:rPr>
        <w:t>Il a aussi participé aux colloques organisés par la Société Jean-Marie Vianney :</w:t>
      </w:r>
    </w:p>
    <w:p w14:paraId="2CE35801" w14:textId="77777777" w:rsidR="006C3A27" w:rsidRDefault="006C3A27" w:rsidP="006C3A27">
      <w:pPr>
        <w:jc w:val="both"/>
        <w:rPr>
          <w:sz w:val="28"/>
          <w:szCs w:val="28"/>
        </w:rPr>
      </w:pPr>
    </w:p>
    <w:p w14:paraId="164C4DDB" w14:textId="51967753" w:rsidR="006C3A27" w:rsidRDefault="006C3A27" w:rsidP="006C3A27">
      <w:pPr>
        <w:jc w:val="both"/>
        <w:rPr>
          <w:sz w:val="28"/>
          <w:szCs w:val="28"/>
        </w:rPr>
      </w:pPr>
      <w:r>
        <w:rPr>
          <w:sz w:val="28"/>
          <w:szCs w:val="28"/>
        </w:rPr>
        <w:t>1998 : Le sacrement du pardon, Théologie et pastorale</w:t>
      </w:r>
    </w:p>
    <w:p w14:paraId="21148302" w14:textId="28F871A5" w:rsidR="006C3A27" w:rsidRDefault="006C3A27" w:rsidP="006C3A27">
      <w:pPr>
        <w:jc w:val="both"/>
        <w:rPr>
          <w:sz w:val="28"/>
          <w:szCs w:val="28"/>
        </w:rPr>
      </w:pPr>
      <w:r>
        <w:rPr>
          <w:sz w:val="28"/>
          <w:szCs w:val="28"/>
        </w:rPr>
        <w:t>« La confession, lieu du kérygme »</w:t>
      </w:r>
    </w:p>
    <w:p w14:paraId="6DA012AD" w14:textId="77777777" w:rsidR="006C3A27" w:rsidRDefault="006C3A27" w:rsidP="006C3A27">
      <w:pPr>
        <w:jc w:val="both"/>
        <w:rPr>
          <w:sz w:val="28"/>
          <w:szCs w:val="28"/>
        </w:rPr>
      </w:pPr>
    </w:p>
    <w:p w14:paraId="6A7EE051" w14:textId="36D7DF65" w:rsidR="006C3A27" w:rsidRDefault="006C3A27" w:rsidP="006C3A27">
      <w:pPr>
        <w:jc w:val="both"/>
        <w:rPr>
          <w:sz w:val="28"/>
          <w:szCs w:val="28"/>
        </w:rPr>
      </w:pPr>
      <w:r>
        <w:rPr>
          <w:sz w:val="28"/>
          <w:szCs w:val="28"/>
        </w:rPr>
        <w:t>2000 : L’Eucharistie et le prêtre</w:t>
      </w:r>
    </w:p>
    <w:p w14:paraId="6B9B6FAA" w14:textId="37D97D38" w:rsidR="006C3A27" w:rsidRDefault="006C3A27" w:rsidP="006C3A27">
      <w:pPr>
        <w:jc w:val="both"/>
        <w:rPr>
          <w:sz w:val="28"/>
          <w:szCs w:val="28"/>
        </w:rPr>
      </w:pPr>
      <w:r>
        <w:rPr>
          <w:sz w:val="28"/>
          <w:szCs w:val="28"/>
        </w:rPr>
        <w:t>« Le célibat du ministère masculin et le Mystère de l’Eucharistie »</w:t>
      </w:r>
    </w:p>
    <w:p w14:paraId="4414A9E3" w14:textId="77777777" w:rsidR="006C3A27" w:rsidRDefault="006C3A27" w:rsidP="006C3A27">
      <w:pPr>
        <w:jc w:val="both"/>
        <w:rPr>
          <w:sz w:val="28"/>
          <w:szCs w:val="28"/>
        </w:rPr>
      </w:pPr>
    </w:p>
    <w:p w14:paraId="3E1081FD" w14:textId="72C2FDF5" w:rsidR="006C3A27" w:rsidRDefault="006C3A27" w:rsidP="006C3A27">
      <w:pPr>
        <w:jc w:val="both"/>
        <w:rPr>
          <w:sz w:val="28"/>
          <w:szCs w:val="28"/>
        </w:rPr>
      </w:pPr>
      <w:r>
        <w:rPr>
          <w:sz w:val="28"/>
          <w:szCs w:val="28"/>
        </w:rPr>
        <w:t>2002 : Regards sur la paroisse, Vocation et missions</w:t>
      </w:r>
    </w:p>
    <w:p w14:paraId="30861F1F" w14:textId="6A8FD179" w:rsidR="006C3A27" w:rsidRDefault="006C3A27" w:rsidP="006C3A27">
      <w:pPr>
        <w:jc w:val="both"/>
        <w:rPr>
          <w:sz w:val="28"/>
          <w:szCs w:val="28"/>
        </w:rPr>
      </w:pPr>
      <w:r>
        <w:rPr>
          <w:sz w:val="28"/>
          <w:szCs w:val="28"/>
        </w:rPr>
        <w:t>« Synthèse théologique et pastorale »</w:t>
      </w:r>
    </w:p>
    <w:p w14:paraId="5C0DE4E9" w14:textId="77777777" w:rsidR="006C3A27" w:rsidRDefault="006C3A27" w:rsidP="006C3A27">
      <w:pPr>
        <w:jc w:val="both"/>
        <w:rPr>
          <w:sz w:val="28"/>
          <w:szCs w:val="28"/>
        </w:rPr>
      </w:pPr>
    </w:p>
    <w:p w14:paraId="377FD6B4" w14:textId="012E542F" w:rsidR="006C3A27" w:rsidRDefault="006C3A27" w:rsidP="006C3A27">
      <w:pPr>
        <w:jc w:val="both"/>
        <w:rPr>
          <w:sz w:val="28"/>
          <w:szCs w:val="28"/>
        </w:rPr>
      </w:pPr>
      <w:r>
        <w:rPr>
          <w:sz w:val="28"/>
          <w:szCs w:val="28"/>
        </w:rPr>
        <w:t>2005 : Le prêtre et la société</w:t>
      </w:r>
    </w:p>
    <w:p w14:paraId="2AA706C3" w14:textId="43DEE84D" w:rsidR="006C3A27" w:rsidRDefault="006C3A27" w:rsidP="006C3A27">
      <w:pPr>
        <w:jc w:val="both"/>
        <w:rPr>
          <w:sz w:val="28"/>
          <w:szCs w:val="28"/>
        </w:rPr>
      </w:pPr>
      <w:r>
        <w:rPr>
          <w:sz w:val="28"/>
          <w:szCs w:val="28"/>
        </w:rPr>
        <w:t>« Le célibat, signe irremplaçable pour le monde »</w:t>
      </w:r>
    </w:p>
    <w:p w14:paraId="078FBF03" w14:textId="77777777" w:rsidR="006C3A27" w:rsidRDefault="006C3A27" w:rsidP="006C3A27">
      <w:pPr>
        <w:jc w:val="both"/>
        <w:rPr>
          <w:sz w:val="28"/>
          <w:szCs w:val="28"/>
        </w:rPr>
      </w:pPr>
    </w:p>
    <w:p w14:paraId="71C3E47C" w14:textId="02234164" w:rsidR="006C3A27" w:rsidRDefault="006C3A27" w:rsidP="006C3A27">
      <w:pPr>
        <w:jc w:val="both"/>
        <w:rPr>
          <w:sz w:val="28"/>
          <w:szCs w:val="28"/>
        </w:rPr>
      </w:pPr>
      <w:r>
        <w:rPr>
          <w:sz w:val="28"/>
          <w:szCs w:val="28"/>
        </w:rPr>
        <w:t>2007 : Prêtres diocésains, quelle sainteté ?</w:t>
      </w:r>
    </w:p>
    <w:p w14:paraId="45D655E1" w14:textId="51843B56" w:rsidR="006C3A27" w:rsidRDefault="006C3A27" w:rsidP="006C3A27">
      <w:pPr>
        <w:jc w:val="both"/>
        <w:rPr>
          <w:sz w:val="28"/>
          <w:szCs w:val="28"/>
        </w:rPr>
      </w:pPr>
      <w:r>
        <w:rPr>
          <w:sz w:val="28"/>
          <w:szCs w:val="28"/>
        </w:rPr>
        <w:t>« Sainteté du prêtre, sainteté du religieux et sainteté du laïc »</w:t>
      </w:r>
    </w:p>
    <w:p w14:paraId="397DFFC0" w14:textId="77777777" w:rsidR="005232A1" w:rsidRDefault="005232A1" w:rsidP="006C3A27">
      <w:pPr>
        <w:jc w:val="both"/>
        <w:rPr>
          <w:sz w:val="28"/>
          <w:szCs w:val="28"/>
        </w:rPr>
      </w:pPr>
    </w:p>
    <w:p w14:paraId="0D3278E4" w14:textId="72100A39" w:rsidR="005232A1" w:rsidRDefault="005232A1" w:rsidP="006C3A27">
      <w:pPr>
        <w:jc w:val="both"/>
        <w:rPr>
          <w:sz w:val="28"/>
          <w:szCs w:val="28"/>
        </w:rPr>
      </w:pPr>
      <w:r>
        <w:rPr>
          <w:sz w:val="28"/>
          <w:szCs w:val="28"/>
        </w:rPr>
        <w:t>2011 : Le célibat sacerdotal, fondements, joies, défis</w:t>
      </w:r>
    </w:p>
    <w:p w14:paraId="008437E1" w14:textId="4C9EC54F" w:rsidR="005232A1" w:rsidRPr="006C3A27" w:rsidRDefault="005232A1" w:rsidP="006C3A27">
      <w:pPr>
        <w:jc w:val="both"/>
        <w:rPr>
          <w:sz w:val="28"/>
          <w:szCs w:val="28"/>
        </w:rPr>
      </w:pPr>
      <w:r>
        <w:rPr>
          <w:sz w:val="28"/>
          <w:szCs w:val="28"/>
        </w:rPr>
        <w:t>« Le célibat sacerdotal, signe d’espérance pour tout le christianisme »</w:t>
      </w:r>
    </w:p>
    <w:sectPr w:rsidR="005232A1" w:rsidRPr="006C3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Corps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3032D"/>
    <w:multiLevelType w:val="hybridMultilevel"/>
    <w:tmpl w:val="AEFA357C"/>
    <w:lvl w:ilvl="0" w:tplc="41F4A2C4">
      <w:numFmt w:val="bullet"/>
      <w:lvlText w:val="-"/>
      <w:lvlJc w:val="left"/>
      <w:pPr>
        <w:ind w:left="1060" w:hanging="360"/>
      </w:pPr>
      <w:rPr>
        <w:rFonts w:ascii="Garamond" w:eastAsiaTheme="minorHAnsi" w:hAnsi="Garamond" w:cs="Times New Roman (Corps C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16cid:durableId="177343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37"/>
    <w:rsid w:val="000A0244"/>
    <w:rsid w:val="00254A23"/>
    <w:rsid w:val="002E4252"/>
    <w:rsid w:val="005232A1"/>
    <w:rsid w:val="00527C37"/>
    <w:rsid w:val="00604C27"/>
    <w:rsid w:val="0066708A"/>
    <w:rsid w:val="0068383D"/>
    <w:rsid w:val="006C3A27"/>
    <w:rsid w:val="009D4E1F"/>
    <w:rsid w:val="00AB25DA"/>
    <w:rsid w:val="00AD4A2C"/>
    <w:rsid w:val="00DE4BE0"/>
    <w:rsid w:val="00E27CC7"/>
    <w:rsid w:val="00FC6EEE"/>
    <w:rsid w:val="00FF71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F422"/>
  <w15:chartTrackingRefBased/>
  <w15:docId w15:val="{8BD22DFE-0141-AB41-95C3-2F255BF9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orps CS)"/>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7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7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7C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7C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27C3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27C37"/>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27C37"/>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27C37"/>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27C37"/>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7C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7C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7C3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527C3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527C3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527C3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27C3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27C3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27C3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27C3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7C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7C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7C3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27C3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27C37"/>
    <w:rPr>
      <w:i/>
      <w:iCs/>
      <w:color w:val="404040" w:themeColor="text1" w:themeTint="BF"/>
    </w:rPr>
  </w:style>
  <w:style w:type="paragraph" w:styleId="Paragraphedeliste">
    <w:name w:val="List Paragraph"/>
    <w:basedOn w:val="Normal"/>
    <w:uiPriority w:val="34"/>
    <w:qFormat/>
    <w:rsid w:val="00527C37"/>
    <w:pPr>
      <w:ind w:left="720"/>
      <w:contextualSpacing/>
    </w:pPr>
  </w:style>
  <w:style w:type="character" w:styleId="Accentuationintense">
    <w:name w:val="Intense Emphasis"/>
    <w:basedOn w:val="Policepardfaut"/>
    <w:uiPriority w:val="21"/>
    <w:qFormat/>
    <w:rsid w:val="00527C37"/>
    <w:rPr>
      <w:i/>
      <w:iCs/>
      <w:color w:val="0F4761" w:themeColor="accent1" w:themeShade="BF"/>
    </w:rPr>
  </w:style>
  <w:style w:type="paragraph" w:styleId="Citationintense">
    <w:name w:val="Intense Quote"/>
    <w:basedOn w:val="Normal"/>
    <w:next w:val="Normal"/>
    <w:link w:val="CitationintenseCar"/>
    <w:uiPriority w:val="30"/>
    <w:qFormat/>
    <w:rsid w:val="00527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7C37"/>
    <w:rPr>
      <w:i/>
      <w:iCs/>
      <w:color w:val="0F4761" w:themeColor="accent1" w:themeShade="BF"/>
    </w:rPr>
  </w:style>
  <w:style w:type="character" w:styleId="Rfrenceintense">
    <w:name w:val="Intense Reference"/>
    <w:basedOn w:val="Policepardfaut"/>
    <w:uiPriority w:val="32"/>
    <w:qFormat/>
    <w:rsid w:val="00527C37"/>
    <w:rPr>
      <w:b/>
      <w:bCs/>
      <w:smallCaps/>
      <w:color w:val="0F4761" w:themeColor="accent1" w:themeShade="BF"/>
      <w:spacing w:val="5"/>
    </w:rPr>
  </w:style>
  <w:style w:type="character" w:styleId="Accentuation">
    <w:name w:val="Emphasis"/>
    <w:basedOn w:val="Policepardfaut"/>
    <w:uiPriority w:val="20"/>
    <w:qFormat/>
    <w:rsid w:val="006670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3790</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rolvar@icloud.com</dc:creator>
  <cp:keywords/>
  <dc:description/>
  <cp:lastModifiedBy>Christian  JOSSELIN</cp:lastModifiedBy>
  <cp:revision>2</cp:revision>
  <cp:lastPrinted>2026-01-11T19:38:00Z</cp:lastPrinted>
  <dcterms:created xsi:type="dcterms:W3CDTF">2026-01-15T15:26:00Z</dcterms:created>
  <dcterms:modified xsi:type="dcterms:W3CDTF">2026-01-15T15:26:00Z</dcterms:modified>
</cp:coreProperties>
</file>